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uto"/>
        <w:ind w:firstLine="480"/>
        <w:jc w:val="center"/>
        <w:rPr>
          <w:rFonts w:hint="eastAsia"/>
          <w:b/>
          <w:color w:val="000000"/>
          <w:sz w:val="44"/>
          <w:szCs w:val="44"/>
        </w:rPr>
      </w:pPr>
      <w:r>
        <w:rPr>
          <w:rFonts w:hint="eastAsia"/>
          <w:b/>
          <w:color w:val="000000"/>
          <w:sz w:val="44"/>
          <w:szCs w:val="44"/>
        </w:rPr>
        <w:t>部分名词解释</w:t>
      </w:r>
    </w:p>
    <w:p>
      <w:pPr>
        <w:pStyle w:val="4"/>
        <w:shd w:val="clear" w:color="auto" w:fill="FFFFFF"/>
        <w:spacing w:before="0" w:beforeAutospacing="0" w:after="0" w:afterAutospacing="0" w:line="480" w:lineRule="auto"/>
        <w:ind w:firstLine="480"/>
        <w:jc w:val="center"/>
        <w:rPr>
          <w:rFonts w:hint="eastAsia"/>
          <w:b/>
          <w:color w:val="000000"/>
          <w:sz w:val="15"/>
          <w:szCs w:val="15"/>
        </w:rPr>
      </w:pP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1.一般公共预算</w:t>
      </w:r>
      <w:r>
        <w:rPr>
          <w:rFonts w:hint="eastAsia" w:ascii="仿宋_GB2312" w:eastAsia="仿宋_GB2312"/>
          <w:b/>
          <w:color w:val="000000"/>
          <w:sz w:val="32"/>
          <w:szCs w:val="32"/>
          <w:lang w:eastAsia="zh-CN"/>
        </w:rPr>
        <w:t>收入</w:t>
      </w:r>
      <w:r>
        <w:rPr>
          <w:rFonts w:hint="eastAsia" w:ascii="仿宋_GB2312" w:eastAsia="仿宋_GB2312"/>
          <w:b/>
          <w:color w:val="000000"/>
          <w:sz w:val="32"/>
          <w:szCs w:val="32"/>
        </w:rPr>
        <w:t>：</w:t>
      </w:r>
      <w:r>
        <w:rPr>
          <w:rFonts w:hint="eastAsia" w:ascii="仿宋_GB2312" w:eastAsia="仿宋_GB2312"/>
          <w:color w:val="000000"/>
          <w:sz w:val="32"/>
          <w:szCs w:val="32"/>
        </w:rPr>
        <w:t>指对以税收为主体的财政收入，安排用于保障和改善民生、推动经济社会发展、维护国家安全、维持国家机构正常运转等方面的收支预算。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.一般公共预算支出：</w:t>
      </w:r>
      <w:r>
        <w:rPr>
          <w:rFonts w:hint="eastAsia" w:ascii="仿宋_GB2312" w:eastAsia="仿宋_GB2312"/>
          <w:color w:val="000000"/>
          <w:sz w:val="32"/>
          <w:szCs w:val="32"/>
        </w:rPr>
        <w:t>指按照现行中央政府与地方政府事权的划分，经同级人大批准，用于保障地方经济社会发展的各项支出。主要包括一般公共服务、公共安全、教育、科学技术、文化体育与传媒、社会保障和就业、医疗卫生、节能环保、城乡社区事务、农林水事务、交通运输、资源勘探电力信息等事务、商业服务业等事务、金融监管等事务、援助其他地区支出、国土资源气象等事务、住房保障支出、粮油物资储备事务、预备费、国债还本付息支出和其他支出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.政府性基金预算：</w:t>
      </w:r>
      <w:r>
        <w:rPr>
          <w:rFonts w:hint="eastAsia" w:ascii="仿宋_GB2312" w:eastAsia="仿宋_GB2312"/>
          <w:color w:val="000000"/>
          <w:sz w:val="32"/>
          <w:szCs w:val="32"/>
        </w:rPr>
        <w:t>指对依照法律、行政法规的规定在一定期限内向特定对象征收、收取或者以其他方式筹集的资金，专项用于特定公共事业发展的收支预算。</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lang w:val="en-US" w:eastAsia="zh-CN"/>
        </w:rPr>
      </w:pP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.人员经费预算。</w:t>
      </w:r>
      <w:r>
        <w:rPr>
          <w:rFonts w:hint="eastAsia" w:ascii="仿宋_GB2312" w:eastAsia="仿宋_GB2312"/>
          <w:b w:val="0"/>
          <w:bCs/>
          <w:color w:val="000000"/>
          <w:sz w:val="32"/>
          <w:szCs w:val="32"/>
          <w:lang w:eastAsia="zh-CN"/>
        </w:rPr>
        <w:t>是</w:t>
      </w:r>
      <w:r>
        <w:rPr>
          <w:rFonts w:hint="eastAsia" w:ascii="仿宋_GB2312" w:eastAsia="仿宋_GB2312"/>
          <w:color w:val="000000"/>
          <w:sz w:val="32"/>
          <w:szCs w:val="32"/>
          <w:lang w:eastAsia="zh-CN"/>
        </w:rPr>
        <w:t>指行政事业单位财政供养人员的全年工资预算</w:t>
      </w:r>
      <w:r>
        <w:rPr>
          <w:rFonts w:hint="eastAsia" w:ascii="仿宋_GB2312" w:eastAsia="仿宋_GB2312"/>
          <w:color w:val="000000"/>
          <w:sz w:val="32"/>
          <w:szCs w:val="32"/>
          <w:lang w:val="en-US" w:eastAsia="zh-CN"/>
        </w:rPr>
        <w:t>。</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lang w:val="en-US" w:eastAsia="zh-CN"/>
        </w:rPr>
      </w:pPr>
      <w:r>
        <w:rPr>
          <w:rFonts w:hint="eastAsia" w:ascii="仿宋_GB2312" w:eastAsia="仿宋_GB2312"/>
          <w:b/>
          <w:sz w:val="32"/>
          <w:szCs w:val="32"/>
          <w:lang w:val="en-US" w:eastAsia="zh-CN"/>
        </w:rPr>
        <w:t>5.</w:t>
      </w:r>
      <w:r>
        <w:rPr>
          <w:rFonts w:hint="eastAsia" w:ascii="仿宋_GB2312" w:eastAsia="仿宋_GB2312"/>
          <w:b/>
          <w:sz w:val="32"/>
          <w:szCs w:val="32"/>
        </w:rPr>
        <w:t>公用经费预算。</w:t>
      </w:r>
      <w:r>
        <w:rPr>
          <w:rFonts w:hint="eastAsia" w:ascii="仿宋_GB2312" w:eastAsia="仿宋_GB2312"/>
          <w:b w:val="0"/>
          <w:bCs/>
          <w:sz w:val="32"/>
          <w:szCs w:val="32"/>
          <w:lang w:eastAsia="zh-CN"/>
        </w:rPr>
        <w:t>是指</w:t>
      </w:r>
      <w:r>
        <w:rPr>
          <w:rFonts w:hint="eastAsia" w:ascii="仿宋_GB2312" w:eastAsia="仿宋_GB2312"/>
          <w:sz w:val="32"/>
          <w:szCs w:val="32"/>
        </w:rPr>
        <w:t>部门、单位基本支出中用于维持机构正常运转和履行工作职责所必须的日常性公共支出。</w:t>
      </w:r>
      <w:r>
        <w:rPr>
          <w:rFonts w:hint="eastAsia" w:ascii="仿宋_GB2312" w:eastAsia="仿宋_GB2312"/>
          <w:sz w:val="32"/>
          <w:szCs w:val="32"/>
          <w:lang w:eastAsia="zh-CN"/>
        </w:rPr>
        <w:t>主要</w:t>
      </w:r>
      <w:r>
        <w:rPr>
          <w:rFonts w:hint="eastAsia" w:ascii="仿宋_GB2312" w:eastAsia="仿宋_GB2312"/>
          <w:sz w:val="32"/>
          <w:szCs w:val="32"/>
        </w:rPr>
        <w:t>包括办公费、印刷费、水费、电费、邮电费、取暖费、公务用车运行维护费、其他交通费用、差旅费、</w:t>
      </w:r>
      <w:r>
        <w:rPr>
          <w:rFonts w:hint="eastAsia" w:ascii="仿宋_GB2312" w:eastAsia="仿宋_GB2312"/>
          <w:sz w:val="32"/>
          <w:szCs w:val="32"/>
          <w:lang w:eastAsia="zh-CN"/>
        </w:rPr>
        <w:t>一般维修（护）费、小型</w:t>
      </w:r>
      <w:r>
        <w:rPr>
          <w:rFonts w:hint="eastAsia" w:ascii="仿宋_GB2312" w:eastAsia="仿宋_GB2312"/>
          <w:sz w:val="32"/>
          <w:szCs w:val="32"/>
        </w:rPr>
        <w:t>会议费、培训费、公务接待费、工会经费及其他商品服务支出等</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lang w:val="en-US" w:eastAsia="zh-CN"/>
        </w:rPr>
      </w:pPr>
      <w:r>
        <w:rPr>
          <w:rFonts w:hint="eastAsia" w:ascii="仿宋_GB2312" w:eastAsia="仿宋_GB2312"/>
          <w:b/>
          <w:bCs/>
          <w:color w:val="000000"/>
          <w:sz w:val="32"/>
          <w:szCs w:val="32"/>
          <w:lang w:val="en-US" w:eastAsia="zh-CN"/>
        </w:rPr>
        <w:t>6.一般公共预算基本支出</w:t>
      </w:r>
      <w:bookmarkStart w:id="0" w:name="_GoBack"/>
      <w:r>
        <w:rPr>
          <w:rFonts w:hint="eastAsia" w:ascii="仿宋_GB2312" w:eastAsia="仿宋_GB2312"/>
          <w:b/>
          <w:bCs/>
          <w:color w:val="000000"/>
          <w:sz w:val="32"/>
          <w:szCs w:val="32"/>
          <w:lang w:val="en-US" w:eastAsia="zh-CN"/>
        </w:rPr>
        <w:t>。</w:t>
      </w:r>
      <w:bookmarkEnd w:id="0"/>
      <w:r>
        <w:rPr>
          <w:rFonts w:hint="eastAsia" w:ascii="仿宋_GB2312" w:eastAsia="仿宋_GB2312"/>
          <w:color w:val="000000"/>
          <w:sz w:val="32"/>
          <w:szCs w:val="32"/>
          <w:lang w:val="en-US" w:eastAsia="zh-CN"/>
        </w:rPr>
        <w:t>是指人员工资及公用经费支出。</w:t>
      </w:r>
    </w:p>
    <w:p>
      <w:pPr>
        <w:pStyle w:val="4"/>
        <w:shd w:val="clear" w:color="auto" w:fill="FFFFFF"/>
        <w:spacing w:before="0" w:beforeAutospacing="0" w:after="0" w:afterAutospacing="0" w:line="480" w:lineRule="auto"/>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lang w:val="en-US" w:eastAsia="zh-CN"/>
        </w:rPr>
        <w:t>7</w:t>
      </w:r>
      <w:r>
        <w:rPr>
          <w:rFonts w:hint="eastAsia" w:ascii="仿宋_GB2312" w:eastAsia="仿宋_GB2312"/>
          <w:b/>
          <w:color w:val="000000"/>
          <w:sz w:val="32"/>
          <w:szCs w:val="32"/>
        </w:rPr>
        <w:t>.“三公”经费：</w:t>
      </w:r>
      <w:r>
        <w:rPr>
          <w:rFonts w:hint="eastAsia" w:ascii="仿宋_GB2312" w:eastAsia="仿宋_GB2312"/>
          <w:color w:val="000000"/>
          <w:sz w:val="32"/>
          <w:szCs w:val="32"/>
        </w:rPr>
        <w:t>指因公出国（境）经费、公务用车购置及运行维护费和公务接待费。其中：因公出国（境）经费是指行政单位、事业单位工作人员公务出国（境）的住宿费、旅费、伙食补助费、杂费、培训费等支出；公务用车购置及运行维护费指行政单位、事业单位公务用车购置费、公务用车租用费、燃料费、维修费、过桥过路费、保险费等支出；公务接待费指行政单位、事业单位按规定开支的各项公务接待（外宾接待）费用。</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lang w:val="en-US" w:eastAsia="zh-CN"/>
        </w:rPr>
        <w:t>8</w:t>
      </w:r>
      <w:r>
        <w:rPr>
          <w:rFonts w:hint="eastAsia" w:ascii="仿宋_GB2312" w:eastAsia="仿宋_GB2312"/>
          <w:b/>
          <w:color w:val="000000"/>
          <w:sz w:val="32"/>
          <w:szCs w:val="32"/>
        </w:rPr>
        <w:t>.非税收入：</w:t>
      </w:r>
      <w:r>
        <w:rPr>
          <w:rFonts w:hint="eastAsia" w:ascii="仿宋_GB2312" w:eastAsia="仿宋_GB2312"/>
          <w:color w:val="000000"/>
          <w:sz w:val="32"/>
          <w:szCs w:val="32"/>
        </w:rPr>
        <w:t>是指除税收以外，由各级政府、国家机关、事业单位、代行政府职能的社会团体及其他组织依法利用政府权力、政府信誉、国家资源、国有资产或提供特定公共服务、准公共服务取得的财政性资金，是政府财政收入的重要组成部分。</w:t>
      </w:r>
    </w:p>
    <w:p>
      <w:pPr>
        <w:pStyle w:val="4"/>
        <w:shd w:val="clear" w:color="auto" w:fill="FFFFFF"/>
        <w:spacing w:before="0" w:beforeAutospacing="0" w:after="0" w:afterAutospacing="0" w:line="480" w:lineRule="auto"/>
        <w:ind w:firstLine="800" w:firstLineChars="249"/>
        <w:rPr>
          <w:rFonts w:hint="eastAsia" w:ascii="仿宋_GB2312" w:eastAsia="仿宋_GB2312"/>
          <w:color w:val="000000"/>
          <w:sz w:val="32"/>
          <w:szCs w:val="32"/>
        </w:rPr>
      </w:pPr>
      <w:r>
        <w:rPr>
          <w:rFonts w:hint="eastAsia" w:ascii="仿宋_GB2312" w:eastAsia="仿宋_GB2312"/>
          <w:b/>
          <w:color w:val="000000"/>
          <w:sz w:val="32"/>
          <w:szCs w:val="32"/>
          <w:lang w:val="en-US" w:eastAsia="zh-CN"/>
        </w:rPr>
        <w:t>9</w:t>
      </w:r>
      <w:r>
        <w:rPr>
          <w:rFonts w:hint="eastAsia" w:ascii="仿宋_GB2312" w:eastAsia="仿宋_GB2312"/>
          <w:b/>
          <w:color w:val="000000"/>
          <w:sz w:val="32"/>
          <w:szCs w:val="32"/>
        </w:rPr>
        <w:t>.专项收入：</w:t>
      </w:r>
      <w:r>
        <w:rPr>
          <w:rFonts w:hint="eastAsia" w:ascii="仿宋_GB2312" w:eastAsia="仿宋_GB2312"/>
          <w:color w:val="000000"/>
          <w:sz w:val="32"/>
          <w:szCs w:val="32"/>
        </w:rPr>
        <w:t>是政府非税收入的重要组成部分，包括排污费收入、水资源费收入、教育费附加收入、 地方教育费附加收入、森林植被恢复费等。</w:t>
      </w:r>
    </w:p>
    <w:sectPr>
      <w:headerReference r:id="rId5" w:type="first"/>
      <w:footerReference r:id="rId8" w:type="first"/>
      <w:headerReference r:id="rId3" w:type="default"/>
      <w:footerReference r:id="rId6" w:type="default"/>
      <w:headerReference r:id="rId4" w:type="even"/>
      <w:footerReference r:id="rId7" w:type="even"/>
      <w:pgSz w:w="11906" w:h="16838"/>
      <w:pgMar w:top="1531" w:right="1474" w:bottom="147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Arial Unicode MS"/>
    <w:panose1 w:val="02010609060101010101"/>
    <w:charset w:val="86"/>
    <w:family w:val="modern"/>
    <w:pitch w:val="default"/>
    <w:sig w:usb0="00000000" w:usb1="00000000" w:usb2="00000016" w:usb3="00000000" w:csb0="00040001" w:csb1="00000000"/>
  </w:font>
  <w:font w:name="Verdana">
    <w:panose1 w:val="020B0604030504040204"/>
    <w:charset w:val="00"/>
    <w:family w:val="swiss"/>
    <w:pitch w:val="default"/>
    <w:sig w:usb0="00000287" w:usb1="00000000" w:usb2="00000000" w:usb3="00000000" w:csb0="2000019F" w:csb1="00000000"/>
  </w:font>
  <w:font w:name="Arial">
    <w:panose1 w:val="020B0604020202020204"/>
    <w:charset w:val="00"/>
    <w:family w:val="swiss"/>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sz w:val="24"/>
        <w:szCs w:val="24"/>
      </w:rPr>
    </w:pPr>
    <w:r>
      <w:rPr>
        <w:rFonts w:hint="eastAsia" w:ascii="仿宋_GB2312" w:eastAsia="仿宋_GB2312"/>
        <w:sz w:val="24"/>
        <w:szCs w:val="24"/>
      </w:rPr>
      <w:fldChar w:fldCharType="begin"/>
    </w:r>
    <w:r>
      <w:rPr>
        <w:rStyle w:val="7"/>
        <w:rFonts w:hint="eastAsia"/>
        <w:sz w:val="24"/>
        <w:szCs w:val="24"/>
      </w:rPr>
      <w:instrText xml:space="preserve">PAGE  </w:instrText>
    </w:r>
    <w:r>
      <w:rPr>
        <w:rFonts w:hint="eastAsia" w:ascii="仿宋_GB2312" w:eastAsia="仿宋_GB2312"/>
        <w:sz w:val="24"/>
        <w:szCs w:val="24"/>
      </w:rPr>
      <w:fldChar w:fldCharType="separate"/>
    </w:r>
    <w:r>
      <w:rPr>
        <w:rStyle w:val="7"/>
        <w:sz w:val="24"/>
        <w:szCs w:val="24"/>
      </w:rPr>
      <w:t>22</w:t>
    </w:r>
    <w:r>
      <w:rPr>
        <w:rFonts w:hint="eastAsia" w:ascii="仿宋_GB2312" w:eastAsia="仿宋_GB2312"/>
        <w:sz w:val="24"/>
        <w:szCs w:val="24"/>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951B7"/>
    <w:rsid w:val="16D34A88"/>
    <w:rsid w:val="1C9951B7"/>
    <w:rsid w:val="25042626"/>
    <w:rsid w:val="327E5A22"/>
    <w:rsid w:val="75BA17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uiPriority w:val="0"/>
    <w:rPr>
      <w:rFonts w:ascii="仿宋_GB2312" w:eastAsia="仿宋_GB2312"/>
      <w:b/>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6">
    <w:name w:val="Char1"/>
    <w:basedOn w:val="1"/>
    <w:link w:val="5"/>
    <w:qFormat/>
    <w:uiPriority w:val="0"/>
    <w:rPr>
      <w:rFonts w:ascii="仿宋_GB2312"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2017-03-14T01:30:00Z</dcterms:created>
  <dc:creator>Administrator</dc:creator>
  <cp:lastModifiedBy>Administrator</cp:lastModifiedBy>
  <dcterms:modified xsi:type="dcterms:W3CDTF">2017-11-18T01:22:12Z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