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rPr>
          <w:rFonts w:hint="eastAsia"/>
        </w:rPr>
      </w:pPr>
      <w:bookmarkStart w:id="0" w:name="_Toc499456557"/>
      <w:r>
        <w:rPr>
          <w:rFonts w:hint="eastAsia"/>
        </w:rPr>
        <w:t>3. A101010一般企业收入明细表</w:t>
      </w:r>
    </w:p>
    <w:p>
      <w:pPr>
        <w:pStyle w:val="14"/>
        <w:rPr>
          <w:rFonts w:hint="eastAsia"/>
        </w:rPr>
      </w:pPr>
      <w:r>
        <w:rPr>
          <w:rFonts w:hint="eastAsia"/>
        </w:rPr>
        <w:t>一、表样</w:t>
      </w:r>
    </w:p>
    <w:p>
      <w:pPr>
        <w:pStyle w:val="14"/>
      </w:pPr>
      <w:r>
        <w:rPr>
          <w:rFonts w:hint="eastAsia"/>
        </w:rPr>
        <w:t>A101010</w:t>
      </w:r>
      <w:r>
        <w:rPr>
          <w:rFonts w:hint="eastAsia"/>
        </w:rPr>
        <w:tab/>
      </w:r>
      <w:r>
        <w:rPr>
          <w:rFonts w:hint="eastAsia"/>
        </w:rPr>
        <w:t>一般企业收入明细表</w:t>
      </w:r>
      <w:bookmarkEnd w:id="0"/>
    </w:p>
    <w:tbl>
      <w:tblPr>
        <w:tblStyle w:val="5"/>
        <w:tblW w:w="968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20"/>
        <w:gridCol w:w="6760"/>
        <w:gridCol w:w="23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12"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行次</w:t>
            </w:r>
          </w:p>
        </w:tc>
        <w:tc>
          <w:tcPr>
            <w:tcW w:w="6760" w:type="dxa"/>
            <w:tcBorders>
              <w:top w:val="single" w:color="auto" w:sz="12" w:space="0"/>
              <w:left w:val="single" w:color="auto" w:sz="6" w:space="0"/>
              <w:bottom w:val="single" w:color="auto" w:sz="6" w:space="0"/>
              <w:right w:val="single" w:color="auto" w:sz="6" w:space="0"/>
            </w:tcBorders>
            <w:noWrap/>
            <w:vAlign w:val="center"/>
          </w:tcPr>
          <w:p>
            <w:pPr>
              <w:widowControl/>
              <w:ind w:left="2520" w:leftChars="1200" w:right="2520" w:rightChars="1200"/>
              <w:jc w:val="distribute"/>
              <w:rPr>
                <w:rFonts w:ascii="宋体" w:hAnsi="宋体" w:cs="宋体"/>
                <w:kern w:val="0"/>
                <w:sz w:val="20"/>
                <w:szCs w:val="20"/>
              </w:rPr>
            </w:pPr>
            <w:r>
              <w:rPr>
                <w:rFonts w:hint="eastAsia" w:ascii="宋体" w:hAnsi="宋体" w:cs="宋体"/>
                <w:kern w:val="0"/>
                <w:sz w:val="20"/>
                <w:szCs w:val="20"/>
              </w:rPr>
              <w:t>项目</w:t>
            </w:r>
          </w:p>
        </w:tc>
        <w:tc>
          <w:tcPr>
            <w:tcW w:w="2300" w:type="dxa"/>
            <w:tcBorders>
              <w:top w:val="single" w:color="auto" w:sz="12"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spacing w:val="300"/>
                <w:kern w:val="0"/>
                <w:sz w:val="20"/>
                <w:szCs w:val="20"/>
                <w:fitText w:val="1000" w:id="0"/>
              </w:rPr>
              <w:t>金</w:t>
            </w:r>
            <w:r>
              <w:rPr>
                <w:rFonts w:hint="eastAsia" w:ascii="宋体" w:hAnsi="宋体" w:cs="宋体"/>
                <w:kern w:val="0"/>
                <w:sz w:val="20"/>
                <w:szCs w:val="20"/>
                <w:fitText w:val="1000" w:id="0"/>
              </w:rPr>
              <w:t>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一、营业收入（2+9）</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（一）主营业务收入（3+5+6+7+8）</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1.销售商品收入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其中：非货币性资产交换收入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2.提供劳务收入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6</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3.建造合同收入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7</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4.让渡资产使用权收入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5.其他</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9</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（二）其他业务收入（10+12+13+14+15）</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1.销售材料收入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其中：非货币性资产交换收入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2.出租固定资产收入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13</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3.出租无形资产收入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14</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4.出租包装物和商品收入</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5.其他</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16</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二、营业外收入（17+18+19+20+21+22+23+24+25+26）</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17</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（一）非流动资产处置利得</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18</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（二）非货币性资产交换利得</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19</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（三）债务重组利得</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（四）政府补助利得</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21</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（五）盘盈利得</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22</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（六）捐赠利得</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23</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（七）罚没利得</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（八）确实无法偿付的应付款项</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25</w:t>
            </w:r>
          </w:p>
        </w:tc>
        <w:tc>
          <w:tcPr>
            <w:tcW w:w="6760"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（九）汇兑收益</w:t>
            </w:r>
          </w:p>
        </w:tc>
        <w:tc>
          <w:tcPr>
            <w:tcW w:w="2300" w:type="dxa"/>
            <w:tcBorders>
              <w:top w:val="single" w:color="auto" w:sz="6" w:space="0"/>
              <w:left w:val="single" w:color="auto" w:sz="6" w:space="0"/>
              <w:bottom w:val="single" w:color="auto" w:sz="6"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20" w:type="dxa"/>
            <w:tcBorders>
              <w:top w:val="single" w:color="auto" w:sz="6" w:space="0"/>
              <w:left w:val="single" w:color="auto" w:sz="12" w:space="0"/>
              <w:bottom w:val="single" w:color="auto" w:sz="12"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26</w:t>
            </w:r>
          </w:p>
        </w:tc>
        <w:tc>
          <w:tcPr>
            <w:tcW w:w="6760" w:type="dxa"/>
            <w:tcBorders>
              <w:top w:val="single" w:color="auto" w:sz="6" w:space="0"/>
              <w:left w:val="single" w:color="auto" w:sz="6" w:space="0"/>
              <w:bottom w:val="single" w:color="auto" w:sz="12"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（十）其他</w:t>
            </w:r>
          </w:p>
        </w:tc>
        <w:tc>
          <w:tcPr>
            <w:tcW w:w="2300" w:type="dxa"/>
            <w:tcBorders>
              <w:top w:val="single" w:color="auto" w:sz="6" w:space="0"/>
              <w:left w:val="single" w:color="auto" w:sz="6" w:space="0"/>
              <w:bottom w:val="single" w:color="auto" w:sz="12" w:space="0"/>
              <w:right w:val="single" w:color="auto" w:sz="12"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pStyle w:val="10"/>
        <w:rPr>
          <w:rFonts w:hint="eastAsia"/>
        </w:rPr>
      </w:pPr>
    </w:p>
    <w:p>
      <w:pPr>
        <w:widowControl/>
        <w:spacing w:line="360" w:lineRule="auto"/>
        <w:jc w:val="left"/>
        <w:rPr>
          <w:rFonts w:ascii="宋体" w:hAnsi="宋体" w:cs="宋体"/>
          <w:b/>
          <w:bCs/>
          <w:kern w:val="0"/>
          <w:sz w:val="28"/>
          <w:szCs w:val="28"/>
        </w:rPr>
        <w:sectPr>
          <w:pgSz w:w="11906" w:h="16838"/>
          <w:pgMar w:top="1418" w:right="1418" w:bottom="1928" w:left="1418" w:header="851" w:footer="992" w:gutter="113"/>
          <w:cols w:space="720" w:num="1"/>
        </w:sectPr>
      </w:pPr>
    </w:p>
    <w:p>
      <w:pPr>
        <w:rPr>
          <w:rFonts w:hint="eastAsia"/>
          <w:color w:val="000000"/>
        </w:rPr>
      </w:pPr>
    </w:p>
    <w:p>
      <w:pPr>
        <w:pStyle w:val="14"/>
        <w:ind w:firstLine="562" w:firstLineChars="200"/>
        <w:rPr>
          <w:rFonts w:hint="eastAsia"/>
        </w:rPr>
      </w:pPr>
      <w:r>
        <w:rPr>
          <w:rFonts w:hint="eastAsia"/>
        </w:rPr>
        <w:t>二、主要政策依据</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《中华人民共和国企业所得税法》</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w:t>
      </w:r>
      <w:r>
        <w:rPr>
          <w:rFonts w:hint="default" w:ascii="宋体" w:hAnsi="宋体" w:cs="宋体"/>
          <w:color w:val="000000"/>
          <w:kern w:val="0"/>
          <w:sz w:val="24"/>
        </w:rPr>
        <w:fldChar w:fldCharType="begin"/>
      </w:r>
      <w:r>
        <w:rPr>
          <w:rFonts w:hint="default" w:ascii="宋体" w:hAnsi="宋体" w:cs="宋体"/>
          <w:color w:val="000000"/>
          <w:kern w:val="0"/>
          <w:sz w:val="24"/>
        </w:rPr>
        <w:instrText xml:space="preserve"> HYPERLINK "https://baike.so.com/doc/6704272-6918239.html" \t "https://baike.so.com/doc/_blank" </w:instrText>
      </w:r>
      <w:r>
        <w:rPr>
          <w:rFonts w:hint="default" w:ascii="宋体" w:hAnsi="宋体" w:cs="宋体"/>
          <w:color w:val="000000"/>
          <w:kern w:val="0"/>
          <w:sz w:val="24"/>
        </w:rPr>
        <w:fldChar w:fldCharType="separate"/>
      </w:r>
      <w:r>
        <w:rPr>
          <w:rFonts w:hint="default" w:ascii="宋体" w:hAnsi="宋体" w:cs="宋体"/>
          <w:color w:val="000000"/>
          <w:kern w:val="0"/>
          <w:sz w:val="24"/>
        </w:rPr>
        <w:t>中华人民共和国企业所得税法</w:t>
      </w:r>
      <w:r>
        <w:rPr>
          <w:rFonts w:hint="default" w:ascii="宋体" w:hAnsi="宋体" w:cs="宋体"/>
          <w:color w:val="000000"/>
          <w:kern w:val="0"/>
          <w:sz w:val="24"/>
        </w:rPr>
        <w:fldChar w:fldCharType="end"/>
      </w:r>
      <w:r>
        <w:rPr>
          <w:rFonts w:hint="default" w:ascii="宋体" w:hAnsi="宋体" w:cs="宋体"/>
          <w:color w:val="000000"/>
          <w:kern w:val="0"/>
          <w:sz w:val="24"/>
        </w:rPr>
        <w:t>实施条例》</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《国家税务总局关于发布〈中华人民共和国企业所得税年度纳税申报表（A类，2017年版）〉的公告》（国家税务总局公告2017年第54号）</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《国家税务总局关于确认企业所得税收入若干问题的通知》</w:t>
      </w:r>
      <w:r>
        <w:rPr>
          <w:rFonts w:hint="eastAsia" w:ascii="宋体" w:hAnsi="宋体" w:cs="宋体"/>
          <w:color w:val="000000"/>
          <w:kern w:val="0"/>
          <w:sz w:val="24"/>
          <w:lang w:val="en-US" w:eastAsia="zh-CN"/>
        </w:rPr>
        <w:t>(</w:t>
      </w:r>
      <w:r>
        <w:rPr>
          <w:rFonts w:hint="eastAsia" w:ascii="宋体" w:hAnsi="宋体" w:cs="宋体"/>
          <w:color w:val="000000"/>
          <w:kern w:val="0"/>
          <w:sz w:val="24"/>
        </w:rPr>
        <w:t xml:space="preserve">国税函[2008]875号 </w:t>
      </w:r>
      <w:r>
        <w:rPr>
          <w:rFonts w:hint="eastAsia" w:ascii="宋体" w:hAnsi="宋体" w:cs="宋体"/>
          <w:color w:val="000000"/>
          <w:kern w:val="0"/>
          <w:sz w:val="24"/>
          <w:lang w:val="en-US" w:eastAsia="zh-CN"/>
        </w:rPr>
        <w:t>)</w:t>
      </w:r>
    </w:p>
    <w:p>
      <w:pPr>
        <w:pStyle w:val="14"/>
        <w:ind w:firstLine="562" w:firstLineChars="200"/>
        <w:rPr>
          <w:rFonts w:hint="eastAsia"/>
        </w:rPr>
      </w:pPr>
      <w:r>
        <w:rPr>
          <w:rFonts w:hint="eastAsia"/>
          <w:lang w:eastAsia="zh-CN"/>
        </w:rPr>
        <w:t>三、</w:t>
      </w:r>
      <w:r>
        <w:rPr>
          <w:rFonts w:hint="eastAsia"/>
        </w:rPr>
        <w:t>填写思路</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本表适用于除金融企业、事业单位和民间非营利组织外的企业填报</w:t>
      </w:r>
      <w:r>
        <w:rPr>
          <w:rFonts w:hint="eastAsia" w:ascii="宋体" w:hAnsi="宋体" w:cs="宋体"/>
          <w:color w:val="000000"/>
          <w:kern w:val="0"/>
          <w:sz w:val="24"/>
          <w:lang w:val="en-US" w:eastAsia="zh-CN"/>
        </w:rPr>
        <w:t>,小型微利企业可免于填报此表</w:t>
      </w:r>
      <w:r>
        <w:rPr>
          <w:rFonts w:hint="eastAsia" w:ascii="宋体" w:hAnsi="宋体" w:cs="宋体"/>
          <w:color w:val="000000"/>
          <w:kern w:val="0"/>
          <w:sz w:val="24"/>
        </w:rPr>
        <w:t>。收入成本费用表的填报数据全部取自企业财务</w:t>
      </w:r>
      <w:r>
        <w:rPr>
          <w:rFonts w:hint="eastAsia" w:ascii="宋体" w:hAnsi="宋体" w:cs="宋体"/>
          <w:color w:val="000000"/>
          <w:kern w:val="0"/>
          <w:sz w:val="24"/>
          <w:lang w:eastAsia="zh-CN"/>
        </w:rPr>
        <w:t>会</w:t>
      </w:r>
      <w:r>
        <w:rPr>
          <w:rFonts w:hint="eastAsia" w:ascii="宋体" w:hAnsi="宋体" w:cs="宋体"/>
          <w:color w:val="000000"/>
          <w:kern w:val="0"/>
          <w:sz w:val="24"/>
        </w:rPr>
        <w:t>计核算</w:t>
      </w:r>
      <w:r>
        <w:rPr>
          <w:rFonts w:hint="eastAsia" w:ascii="宋体" w:hAnsi="宋体" w:cs="宋体"/>
          <w:color w:val="000000"/>
          <w:kern w:val="0"/>
          <w:sz w:val="24"/>
          <w:lang w:eastAsia="zh-CN"/>
        </w:rPr>
        <w:t>数据</w:t>
      </w:r>
      <w:r>
        <w:rPr>
          <w:rFonts w:hint="eastAsia" w:ascii="宋体" w:hAnsi="宋体" w:cs="宋体"/>
          <w:color w:val="000000"/>
          <w:kern w:val="0"/>
          <w:sz w:val="24"/>
        </w:rPr>
        <w:t>, 与税收</w:t>
      </w:r>
      <w:r>
        <w:rPr>
          <w:rFonts w:hint="eastAsia" w:ascii="宋体" w:hAnsi="宋体" w:cs="宋体"/>
          <w:color w:val="000000"/>
          <w:kern w:val="0"/>
          <w:sz w:val="24"/>
          <w:lang w:eastAsia="zh-CN"/>
        </w:rPr>
        <w:t>口径数据</w:t>
      </w:r>
      <w:r>
        <w:rPr>
          <w:rFonts w:hint="eastAsia" w:ascii="宋体" w:hAnsi="宋体" w:cs="宋体"/>
          <w:color w:val="000000"/>
          <w:kern w:val="0"/>
          <w:sz w:val="24"/>
        </w:rPr>
        <w:t>无关。纳税人应根据国家统一会计制度的规定，填报“主营业务收入”“其他业务收入”和“营业外收入”。“营业收入”和“营业外收入”这两行的金额需要跟年度利润表中的对应行次金额一致，不一致的话需要核实申报数据填写是否有误。收入产生的税会差异通过A105010《视同销售和房地产开发企业特定业务纳税调整明细表》和A105020《未按权责发生制确认收入纳税调整明细表》进行调整。</w:t>
      </w:r>
      <w:bookmarkStart w:id="1" w:name="_GoBack"/>
      <w:bookmarkEnd w:id="1"/>
    </w:p>
    <w:p>
      <w:pPr>
        <w:ind w:firstLine="562" w:firstLineChars="200"/>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四、主要项目填报解析</w:t>
      </w:r>
    </w:p>
    <w:p>
      <w:pPr>
        <w:ind w:firstLine="480" w:firstLineChars="200"/>
        <w:rPr>
          <w:rFonts w:hint="eastAsia" w:ascii="宋体" w:hAnsi="宋体" w:cs="宋体"/>
          <w:color w:val="000000"/>
          <w:kern w:val="0"/>
          <w:sz w:val="24"/>
          <w:lang w:eastAsia="zh-CN"/>
        </w:rPr>
      </w:pPr>
      <w:r>
        <w:rPr>
          <w:rFonts w:hint="eastAsia" w:ascii="宋体" w:hAnsi="宋体" w:cs="宋体"/>
          <w:color w:val="000000"/>
          <w:kern w:val="0"/>
          <w:sz w:val="24"/>
        </w:rPr>
        <w:t>(一)营业收入</w:t>
      </w:r>
      <w:r>
        <w:rPr>
          <w:rFonts w:hint="eastAsia" w:ascii="宋体" w:hAnsi="宋体" w:cs="宋体"/>
          <w:color w:val="000000"/>
          <w:kern w:val="0"/>
          <w:sz w:val="24"/>
          <w:lang w:eastAsia="zh-CN"/>
        </w:rPr>
        <w:t>（</w:t>
      </w:r>
      <w:r>
        <w:rPr>
          <w:rFonts w:hint="eastAsia" w:ascii="宋体" w:hAnsi="宋体" w:cs="宋体"/>
          <w:color w:val="000000"/>
          <w:kern w:val="0"/>
          <w:sz w:val="24"/>
        </w:rPr>
        <w:t>第1行＝第2+9行</w:t>
      </w:r>
      <w:r>
        <w:rPr>
          <w:rFonts w:hint="eastAsia" w:ascii="宋体" w:hAnsi="宋体" w:cs="宋体"/>
          <w:color w:val="000000"/>
          <w:kern w:val="0"/>
          <w:sz w:val="24"/>
          <w:lang w:eastAsia="zh-CN"/>
        </w:rPr>
        <w:t>，</w:t>
      </w:r>
      <w:r>
        <w:rPr>
          <w:rFonts w:hint="eastAsia" w:ascii="宋体" w:hAnsi="宋体" w:cs="宋体"/>
          <w:color w:val="000000"/>
          <w:kern w:val="0"/>
          <w:sz w:val="24"/>
        </w:rPr>
        <w:t>第1行＝表A100000第1行</w:t>
      </w:r>
      <w:r>
        <w:rPr>
          <w:rFonts w:hint="eastAsia" w:ascii="宋体" w:hAnsi="宋体" w:cs="宋体"/>
          <w:color w:val="000000"/>
          <w:kern w:val="0"/>
          <w:sz w:val="24"/>
          <w:lang w:eastAsia="zh-CN"/>
        </w:rPr>
        <w:t>）</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第1行“营业收入”：根据主营业务收入、其他业务收入的数额计算填报。</w:t>
      </w:r>
    </w:p>
    <w:p>
      <w:pPr>
        <w:rPr>
          <w:rFonts w:hint="eastAsia" w:ascii="宋体" w:hAnsi="宋体" w:cs="宋体"/>
          <w:color w:val="000000"/>
          <w:kern w:val="0"/>
          <w:sz w:val="24"/>
        </w:rPr>
      </w:pPr>
      <w:r>
        <w:rPr>
          <w:rFonts w:hint="eastAsia" w:ascii="宋体" w:hAnsi="宋体" w:cs="宋体"/>
          <w:color w:val="000000"/>
          <w:kern w:val="0"/>
          <w:sz w:val="24"/>
        </w:rPr>
        <w:t>营业收人是一个计算数值项目, 由主营业务收人与其他业务收入组成, 数据分别取自营业务收人与其他业务收人两个不同的会计科目, 在税收上没有对主营业务收入与其他</w:t>
      </w:r>
      <w:r>
        <w:rPr>
          <w:rFonts w:hint="eastAsia" w:ascii="宋体" w:hAnsi="宋体" w:cs="宋体"/>
          <w:color w:val="000000"/>
          <w:kern w:val="0"/>
          <w:sz w:val="24"/>
          <w:lang w:eastAsia="zh-CN"/>
        </w:rPr>
        <w:t>业</w:t>
      </w:r>
      <w:r>
        <w:rPr>
          <w:rFonts w:hint="eastAsia" w:ascii="宋体" w:hAnsi="宋体" w:cs="宋体"/>
          <w:color w:val="000000"/>
          <w:kern w:val="0"/>
          <w:sz w:val="24"/>
        </w:rPr>
        <w:t>务收人的划分标准, 企业根据其会计核算要求及经营内容, 划分主营业务收入与其他业</w:t>
      </w:r>
      <w:r>
        <w:rPr>
          <w:rFonts w:hint="eastAsia" w:ascii="宋体" w:hAnsi="宋体" w:cs="宋体"/>
          <w:color w:val="000000"/>
          <w:kern w:val="0"/>
          <w:sz w:val="24"/>
          <w:lang w:eastAsia="zh-CN"/>
        </w:rPr>
        <w:t>务</w:t>
      </w:r>
      <w:r>
        <w:rPr>
          <w:rFonts w:hint="eastAsia" w:ascii="宋体" w:hAnsi="宋体" w:cs="宋体"/>
          <w:color w:val="000000"/>
          <w:kern w:val="0"/>
          <w:sz w:val="24"/>
        </w:rPr>
        <w:t>收入进行填报。</w:t>
      </w:r>
    </w:p>
    <w:p>
      <w:pPr>
        <w:ind w:firstLine="480" w:firstLineChars="200"/>
        <w:rPr>
          <w:rFonts w:hint="eastAsia" w:ascii="宋体" w:hAnsi="宋体" w:cs="宋体"/>
          <w:color w:val="000000"/>
          <w:kern w:val="0"/>
          <w:sz w:val="24"/>
          <w:lang w:eastAsia="zh-CN"/>
        </w:rPr>
      </w:pPr>
      <w:r>
        <w:rPr>
          <w:rFonts w:hint="eastAsia" w:ascii="宋体" w:hAnsi="宋体" w:cs="宋体"/>
          <w:color w:val="000000"/>
          <w:kern w:val="0"/>
          <w:sz w:val="24"/>
          <w:lang w:val="en-US" w:eastAsia="zh-CN"/>
        </w:rPr>
        <w:t>1.</w:t>
      </w:r>
      <w:r>
        <w:rPr>
          <w:rFonts w:hint="eastAsia" w:ascii="宋体" w:hAnsi="宋体" w:cs="宋体"/>
          <w:color w:val="000000"/>
          <w:kern w:val="0"/>
          <w:sz w:val="24"/>
        </w:rPr>
        <w:t xml:space="preserve">主营业务收入 </w:t>
      </w:r>
      <w:r>
        <w:rPr>
          <w:rFonts w:hint="eastAsia" w:ascii="宋体" w:hAnsi="宋体" w:cs="宋体"/>
          <w:color w:val="000000"/>
          <w:kern w:val="0"/>
          <w:sz w:val="24"/>
          <w:lang w:eastAsia="zh-CN"/>
        </w:rPr>
        <w:t>（</w:t>
      </w:r>
      <w:r>
        <w:rPr>
          <w:rFonts w:hint="eastAsia" w:ascii="宋体" w:hAnsi="宋体" w:cs="宋体"/>
          <w:color w:val="000000"/>
          <w:kern w:val="0"/>
          <w:sz w:val="24"/>
        </w:rPr>
        <w:t>第2行＝第3+5+6+7+8行</w:t>
      </w:r>
      <w:r>
        <w:rPr>
          <w:rFonts w:hint="eastAsia" w:ascii="宋体" w:hAnsi="宋体" w:cs="宋体"/>
          <w:color w:val="000000"/>
          <w:kern w:val="0"/>
          <w:sz w:val="24"/>
          <w:lang w:eastAsia="zh-CN"/>
        </w:rPr>
        <w:t>）</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第2行“主营业务收入”：根据不同行业的业务性质分别填报纳税人核算的主营业务收入。在主营业务收入项目下, 细分销售商品收人, 提供劳务收入、建造合同收人</w:t>
      </w:r>
      <w:r>
        <w:rPr>
          <w:rFonts w:hint="eastAsia" w:ascii="宋体" w:hAnsi="宋体" w:cs="宋体"/>
          <w:color w:val="000000"/>
          <w:kern w:val="0"/>
          <w:sz w:val="24"/>
          <w:lang w:eastAsia="zh-CN"/>
        </w:rPr>
        <w:t>、</w:t>
      </w:r>
      <w:r>
        <w:rPr>
          <w:rFonts w:hint="eastAsia" w:ascii="宋体" w:hAnsi="宋体" w:cs="宋体"/>
          <w:color w:val="000000"/>
          <w:kern w:val="0"/>
          <w:sz w:val="24"/>
        </w:rPr>
        <w:t>让渡资产使用权收入四大类, 分类原则主要是参照《企业会计准则》的收入分类方法</w:t>
      </w:r>
      <w:r>
        <w:rPr>
          <w:rFonts w:hint="eastAsia" w:ascii="宋体" w:hAnsi="宋体" w:cs="宋体"/>
          <w:color w:val="000000"/>
          <w:kern w:val="0"/>
          <w:sz w:val="24"/>
          <w:lang w:eastAsia="zh-CN"/>
        </w:rPr>
        <w:t>。</w:t>
      </w:r>
      <w:r>
        <w:rPr>
          <w:rFonts w:hint="eastAsia" w:ascii="宋体" w:hAnsi="宋体" w:cs="宋体"/>
          <w:color w:val="000000"/>
          <w:kern w:val="0"/>
          <w:sz w:val="24"/>
        </w:rPr>
        <w:t xml:space="preserve"> 《企业会计准则第14号-收人》规定“本准则所涉及的收入, 包括销售商品收人、提供劳</w:t>
      </w:r>
      <w:r>
        <w:rPr>
          <w:rFonts w:hint="eastAsia" w:ascii="宋体" w:hAnsi="宋体" w:cs="宋体"/>
          <w:color w:val="000000"/>
          <w:kern w:val="0"/>
          <w:sz w:val="24"/>
          <w:lang w:eastAsia="zh-CN"/>
        </w:rPr>
        <w:t>务合</w:t>
      </w:r>
      <w:r>
        <w:rPr>
          <w:rFonts w:hint="eastAsia" w:ascii="宋体" w:hAnsi="宋体" w:cs="宋体"/>
          <w:color w:val="000000"/>
          <w:kern w:val="0"/>
          <w:sz w:val="24"/>
        </w:rPr>
        <w:t>同的确认、计量和相关信息的披露的特殊规定, 单独从提供劳务收入中抽取出建造合同收入作为单独一项收人类型进行填报。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第3行“销售商品收入”：填报纳税人从事工业制造、商品流通、农业生产以及其他商品销售活动取得的主营业务收入。房地产开发企业销售开发产品（销售未完工开发产品除外）取得的收入也在此行填报。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第4行“其中：非货币性资产交换收入”：填报纳税人发生的非货币性资产交换按照国家统一会计制度应确认的销售商品收入。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5行“提供劳务收入”：填报纳税人从事建筑安装、修理修配、交通运输、仓储租赁、邮电通信、咨询经纪、文化体育、科学研究、技术服务、教育培训、餐饮住宿、中介代理、卫生保健、社区服务、旅游、娱乐、加工以及其他劳务活动取得的主营业务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第6行“建造合同收入”：填报纳税人建造房屋、道路、桥梁、水坝等建筑物，以及生产船舶、飞机、大型机械设备等取得的主营业务收入。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第7行“让渡资产使用权收入”：填报纳税人在主营业务收入核算的，让渡无形资产使用权而取得的使用费收入以及出租固定资产、无形资产、投资性房地产取得的租金收入。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第8行“其他”：填报纳税人按照国家统一会计制度核算、上述未列举的其他主营业务收入。</w:t>
      </w:r>
    </w:p>
    <w:p>
      <w:pPr>
        <w:ind w:firstLine="480" w:firstLineChars="200"/>
        <w:rPr>
          <w:rFonts w:hint="eastAsia" w:ascii="宋体" w:hAnsi="宋体" w:cs="宋体"/>
          <w:color w:val="000000"/>
          <w:kern w:val="0"/>
          <w:sz w:val="24"/>
          <w:lang w:eastAsia="zh-CN"/>
        </w:rPr>
      </w:pPr>
      <w:r>
        <w:rPr>
          <w:rFonts w:hint="eastAsia" w:ascii="宋体" w:hAnsi="宋体" w:cs="宋体"/>
          <w:color w:val="000000"/>
          <w:kern w:val="0"/>
          <w:sz w:val="24"/>
          <w:lang w:val="en-US" w:eastAsia="zh-CN"/>
        </w:rPr>
        <w:t>2.</w:t>
      </w:r>
      <w:r>
        <w:rPr>
          <w:rFonts w:hint="eastAsia" w:ascii="宋体" w:hAnsi="宋体" w:cs="宋体"/>
          <w:color w:val="000000"/>
          <w:kern w:val="0"/>
          <w:sz w:val="24"/>
        </w:rPr>
        <w:t xml:space="preserve">其他业务收入 </w:t>
      </w:r>
      <w:r>
        <w:rPr>
          <w:rFonts w:hint="eastAsia" w:ascii="宋体" w:hAnsi="宋体" w:cs="宋体"/>
          <w:color w:val="000000"/>
          <w:kern w:val="0"/>
          <w:sz w:val="24"/>
          <w:lang w:eastAsia="zh-CN"/>
        </w:rPr>
        <w:t>（</w:t>
      </w:r>
      <w:r>
        <w:rPr>
          <w:rFonts w:hint="eastAsia" w:ascii="宋体" w:hAnsi="宋体" w:cs="宋体"/>
          <w:color w:val="000000"/>
          <w:kern w:val="0"/>
          <w:sz w:val="24"/>
        </w:rPr>
        <w:t>第9行＝第10+12+13+14+15行</w:t>
      </w:r>
      <w:r>
        <w:rPr>
          <w:rFonts w:hint="eastAsia" w:ascii="宋体" w:hAnsi="宋体" w:cs="宋体"/>
          <w:color w:val="000000"/>
          <w:kern w:val="0"/>
          <w:sz w:val="24"/>
          <w:lang w:eastAsia="zh-CN"/>
        </w:rPr>
        <w:t>）</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 xml:space="preserve">第9行“其他业务收入”：填报根据不同行业的业务性质分别填报纳税人核算的其他业务收入。 </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 xml:space="preserve">第10行“销售材料收入”：填报纳税人销售材料、下脚料、废料、废旧物资等取得的收入。如果是处置固定资产或无形资产取得的利得, 需要填报在17行"非流动资产处置利得”。 </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第11行“其中：非货币性资产交换收入”：填报纳税人发生的非货币性资产交换按照国家统一会计制度应确认的材料销售收入。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第12行“出租固定资产收入”：填报纳税人将固定资产使用权让与承租人获取的其他业务收入。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第13行“出租无形资产收入”：填报纳税人让渡无形资产使用权取得的其他业务收入。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第14行“出租包装物和商品收入”：填报纳税人出租、出借包装物和商品取得的其他业务收入。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第15行“其他”：填报纳税人按照国家统一会计制度核算，上述未列举的其他业务收入。</w:t>
      </w:r>
    </w:p>
    <w:p>
      <w:pPr>
        <w:rPr>
          <w:rFonts w:hint="eastAsia" w:ascii="宋体" w:hAnsi="宋体" w:cs="宋体"/>
          <w:color w:val="000000"/>
          <w:kern w:val="0"/>
          <w:sz w:val="24"/>
        </w:rPr>
      </w:pPr>
    </w:p>
    <w:p>
      <w:pPr>
        <w:ind w:firstLine="480" w:firstLineChars="200"/>
        <w:rPr>
          <w:rFonts w:hint="eastAsia" w:ascii="宋体" w:hAnsi="宋体" w:cs="宋体"/>
          <w:color w:val="000000"/>
          <w:kern w:val="0"/>
          <w:sz w:val="24"/>
          <w:lang w:eastAsia="zh-CN"/>
        </w:rPr>
      </w:pPr>
      <w:r>
        <w:rPr>
          <w:rFonts w:hint="eastAsia" w:ascii="宋体" w:hAnsi="宋体" w:cs="宋体"/>
          <w:color w:val="000000"/>
          <w:kern w:val="0"/>
          <w:sz w:val="24"/>
        </w:rPr>
        <w:t>(</w:t>
      </w:r>
      <w:r>
        <w:rPr>
          <w:rFonts w:hint="eastAsia" w:ascii="宋体" w:hAnsi="宋体" w:cs="宋体"/>
          <w:color w:val="000000"/>
          <w:kern w:val="0"/>
          <w:sz w:val="24"/>
          <w:lang w:eastAsia="zh-CN"/>
        </w:rPr>
        <w:t>二</w:t>
      </w:r>
      <w:r>
        <w:rPr>
          <w:rFonts w:hint="eastAsia" w:ascii="宋体" w:hAnsi="宋体" w:cs="宋体"/>
          <w:color w:val="000000"/>
          <w:kern w:val="0"/>
          <w:sz w:val="24"/>
        </w:rPr>
        <w:t xml:space="preserve">)营业外收入 </w:t>
      </w:r>
      <w:r>
        <w:rPr>
          <w:rFonts w:hint="eastAsia" w:ascii="宋体" w:hAnsi="宋体" w:cs="宋体"/>
          <w:color w:val="000000"/>
          <w:kern w:val="0"/>
          <w:sz w:val="24"/>
          <w:lang w:eastAsia="zh-CN"/>
        </w:rPr>
        <w:t>（</w:t>
      </w:r>
      <w:r>
        <w:rPr>
          <w:rFonts w:hint="eastAsia" w:ascii="宋体" w:hAnsi="宋体" w:cs="宋体"/>
          <w:color w:val="000000"/>
          <w:kern w:val="0"/>
          <w:sz w:val="24"/>
        </w:rPr>
        <w:t>第16行＝第17+18+19+20+21+22+23+24+25+26行</w:t>
      </w:r>
      <w:r>
        <w:rPr>
          <w:rFonts w:hint="eastAsia" w:ascii="宋体" w:hAnsi="宋体" w:cs="宋体"/>
          <w:color w:val="000000"/>
          <w:kern w:val="0"/>
          <w:sz w:val="24"/>
          <w:lang w:eastAsia="zh-CN"/>
        </w:rPr>
        <w:t>，</w:t>
      </w:r>
      <w:r>
        <w:rPr>
          <w:rFonts w:hint="eastAsia" w:ascii="宋体" w:hAnsi="宋体" w:cs="宋体"/>
          <w:color w:val="000000"/>
          <w:kern w:val="0"/>
          <w:sz w:val="24"/>
        </w:rPr>
        <w:t>.第16行＝表A100000第11行</w:t>
      </w:r>
      <w:r>
        <w:rPr>
          <w:rFonts w:hint="eastAsia" w:ascii="宋体" w:hAnsi="宋体" w:cs="宋体"/>
          <w:color w:val="000000"/>
          <w:kern w:val="0"/>
          <w:sz w:val="24"/>
          <w:lang w:eastAsia="zh-CN"/>
        </w:rPr>
        <w:t>）</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第16行“营业外收入”：填报纳税人计入本科目核算的与生产经营无直接关系的各项收入。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第17行“非流动资产处置利得”：填报纳税人处置固定资产、无形资产等取得的净收益。特别注意, 执行《企业会计准</w:t>
      </w:r>
      <w:r>
        <w:rPr>
          <w:rFonts w:hint="eastAsia" w:ascii="宋体" w:hAnsi="宋体" w:cs="宋体"/>
          <w:color w:val="000000"/>
          <w:kern w:val="0"/>
          <w:sz w:val="24"/>
          <w:lang w:eastAsia="zh-CN"/>
        </w:rPr>
        <w:t>则》</w:t>
      </w:r>
      <w:r>
        <w:rPr>
          <w:rFonts w:hint="eastAsia" w:ascii="宋体" w:hAnsi="宋体" w:cs="宋体"/>
          <w:color w:val="000000"/>
          <w:kern w:val="0"/>
          <w:sz w:val="24"/>
        </w:rPr>
        <w:t xml:space="preserve"> 的企业, 会计核算上通过“资产处置损益”科目核算, 申报表填人该项目。</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第18行“非货币性资产交换利得”：填报纳税人发生非货币性资产交换应确认的净收益。营业外</w:t>
      </w:r>
      <w:r>
        <w:rPr>
          <w:rFonts w:hint="eastAsia" w:ascii="宋体" w:hAnsi="宋体" w:cs="宋体"/>
          <w:color w:val="000000"/>
          <w:kern w:val="0"/>
          <w:sz w:val="24"/>
          <w:lang w:eastAsia="zh-CN"/>
        </w:rPr>
        <w:t>收</w:t>
      </w:r>
      <w:r>
        <w:rPr>
          <w:rFonts w:hint="eastAsia" w:ascii="宋体" w:hAnsi="宋体" w:cs="宋体"/>
          <w:color w:val="000000"/>
          <w:kern w:val="0"/>
          <w:sz w:val="24"/>
        </w:rPr>
        <w:t>人中的非货币性资产交换利得主要是使用固定资产或无形资产对外交换确认的交换利</w:t>
      </w:r>
      <w:r>
        <w:rPr>
          <w:rFonts w:hint="eastAsia" w:ascii="宋体" w:hAnsi="宋体" w:cs="宋体"/>
          <w:color w:val="000000"/>
          <w:kern w:val="0"/>
          <w:sz w:val="24"/>
          <w:lang w:eastAsia="zh-CN"/>
        </w:rPr>
        <w:t>得，</w:t>
      </w:r>
      <w:r>
        <w:rPr>
          <w:rFonts w:hint="eastAsia" w:ascii="宋体" w:hAnsi="宋体" w:cs="宋体"/>
          <w:color w:val="000000"/>
          <w:kern w:val="0"/>
          <w:sz w:val="24"/>
        </w:rPr>
        <w:t>与前面非货币性资产交换收入不同, 此处是净收益的概念, 需要减除相关的成本。</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 xml:space="preserve"> 第19行“债务重组利得”：填报纳税人发生的债务重组业务确认的净收益。《企业会计准则第12号-债务重组》对债务重组的会计处理事项进行了规范, 债务重</w:t>
      </w:r>
      <w:r>
        <w:rPr>
          <w:rFonts w:hint="eastAsia" w:ascii="宋体" w:hAnsi="宋体" w:cs="宋体"/>
          <w:color w:val="000000"/>
          <w:kern w:val="0"/>
          <w:sz w:val="24"/>
          <w:lang w:eastAsia="zh-CN"/>
        </w:rPr>
        <w:t>组是指</w:t>
      </w:r>
      <w:r>
        <w:rPr>
          <w:rFonts w:hint="eastAsia" w:ascii="宋体" w:hAnsi="宋体" w:cs="宋体"/>
          <w:color w:val="000000"/>
          <w:kern w:val="0"/>
          <w:sz w:val="24"/>
        </w:rPr>
        <w:t>债务人发生财务困难的情况下, 债权人按照其与债务人达成的协议或者法院</w:t>
      </w:r>
      <w:r>
        <w:rPr>
          <w:rFonts w:hint="eastAsia" w:ascii="宋体" w:hAnsi="宋体" w:cs="宋体"/>
          <w:color w:val="000000"/>
          <w:kern w:val="0"/>
          <w:sz w:val="24"/>
          <w:lang w:eastAsia="zh-CN"/>
        </w:rPr>
        <w:t>裁定</w:t>
      </w:r>
      <w:r>
        <w:rPr>
          <w:rFonts w:hint="eastAsia" w:ascii="宋体" w:hAnsi="宋体" w:cs="宋体"/>
          <w:color w:val="000000"/>
          <w:kern w:val="0"/>
          <w:sz w:val="24"/>
        </w:rPr>
        <w:t>作出</w:t>
      </w:r>
      <w:r>
        <w:rPr>
          <w:rFonts w:hint="eastAsia" w:ascii="宋体" w:hAnsi="宋体" w:cs="宋体"/>
          <w:color w:val="000000"/>
          <w:kern w:val="0"/>
          <w:sz w:val="24"/>
          <w:lang w:eastAsia="zh-CN"/>
        </w:rPr>
        <w:t>的</w:t>
      </w:r>
      <w:r>
        <w:rPr>
          <w:rFonts w:hint="eastAsia" w:ascii="宋体" w:hAnsi="宋体" w:cs="宋体"/>
          <w:color w:val="000000"/>
          <w:kern w:val="0"/>
          <w:sz w:val="24"/>
        </w:rPr>
        <w:t>让步事项。既然债权人有让步, 那么债务人就会有收益, 债务人因债务重组取得收益, 应在营业外收入科目核算, 填写在本行。</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第20行“政府补助利得”：填报纳税人从政府无偿取得货币性资产或非货币性资产应确认的净收益。《企业会计准则第16号--政策补助》规范了政府补助的确认、计量和相关信息的披露, 政府补助是指企业从政府无偿取得货币性资产或非货币性资产, 但不包括政府作为企业所有者投入的资本。政府补助分为与资产相关的政府补助和与收益相关的政府补助。根据权责发生制原则, 取得政府补助时往往记入“递延收益”科目, 分期确认收入记人“其他收益”等科目, 在此行只填报当期转入“其他收益”的政府补助利得, 而不是当年获得的政府补助的总额。这里只需要从会计核算角度进行填报, 不需考虑不征税收入问题, 如果政府</w:t>
      </w:r>
      <w:r>
        <w:rPr>
          <w:rFonts w:hint="eastAsia" w:ascii="宋体" w:hAnsi="宋体" w:cs="宋体"/>
          <w:color w:val="000000"/>
          <w:kern w:val="0"/>
          <w:sz w:val="24"/>
          <w:lang w:eastAsia="zh-CN"/>
        </w:rPr>
        <w:t>补</w:t>
      </w:r>
      <w:r>
        <w:rPr>
          <w:rFonts w:hint="eastAsia" w:ascii="宋体" w:hAnsi="宋体" w:cs="宋体"/>
          <w:color w:val="000000"/>
          <w:kern w:val="0"/>
          <w:sz w:val="24"/>
        </w:rPr>
        <w:t>助收入满足不征税收入条件, 需在纳税调整表中进行填报。特别注意, 执行《企业会计准则》的企业, 会计核算上通过“其他收益”科目核算的, 政府补助利得申报表填入该项目。</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第21行“盘盈利得”：填报纳税人在清查财产过程中查明的各种财产盘盈应确认的净收益。</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第22行“捐赠利得”：填报纳税人接受的来自企业、组织或个人无偿给予的货币性资产、非货币性资产捐赠应确认的净收益。</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第23行“罚没利得”：填报纳税人在日常经营管理活动中取得的罚款、没收收入应确认的净收益。</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第24行“确实无法偿付的应付款项”：填报纳税人因确实无法偿付的应付款项而确认的收入。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第25行“汇兑收益”：填报纳税人取得企业外币货币性项目因汇率变动形成的收益应确认的收入。（该项目为执行小企业会计准则企业填报）</w:t>
      </w:r>
    </w:p>
    <w:p>
      <w:pPr>
        <w:ind w:firstLine="480" w:firstLineChars="200"/>
        <w:rPr>
          <w:rFonts w:hint="eastAsia" w:ascii="宋体" w:hAnsi="宋体" w:cs="宋体"/>
          <w:color w:val="000000"/>
          <w:kern w:val="0"/>
          <w:sz w:val="24"/>
        </w:rPr>
      </w:pPr>
      <w:r>
        <w:rPr>
          <w:rFonts w:hint="eastAsia" w:ascii="宋体" w:hAnsi="宋体" w:cs="宋体"/>
          <w:color w:val="000000"/>
          <w:kern w:val="0"/>
          <w:sz w:val="24"/>
        </w:rPr>
        <w:t>第26行“其他”：填报纳税人取得的上述项目未列举的其他营业外收入，包括执行企业会计准则纳税人按权益法核算长期股权投资对初始投资成本调整确认的收益，执行小企业会计准则纳税人取得的出租包装物和商品的租金收入、逾期未退包装物押金收益等。</w:t>
      </w:r>
    </w:p>
    <w:p>
      <w:pPr>
        <w:rPr>
          <w:rFonts w:hint="eastAsia" w:ascii="宋体" w:hAnsi="宋体" w:cs="宋体"/>
          <w:color w:val="000000"/>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350F5"/>
    <w:rsid w:val="00157ED3"/>
    <w:rsid w:val="0026430C"/>
    <w:rsid w:val="00767229"/>
    <w:rsid w:val="009350F5"/>
    <w:rsid w:val="00D553D5"/>
    <w:rsid w:val="00ED1406"/>
    <w:rsid w:val="020044B8"/>
    <w:rsid w:val="10347A49"/>
    <w:rsid w:val="1293496C"/>
    <w:rsid w:val="17957563"/>
    <w:rsid w:val="19F87125"/>
    <w:rsid w:val="241112A2"/>
    <w:rsid w:val="26C4787B"/>
    <w:rsid w:val="28E80878"/>
    <w:rsid w:val="2AFB698C"/>
    <w:rsid w:val="355466E2"/>
    <w:rsid w:val="3557170E"/>
    <w:rsid w:val="36321E7C"/>
    <w:rsid w:val="365970D7"/>
    <w:rsid w:val="374D6660"/>
    <w:rsid w:val="375A4129"/>
    <w:rsid w:val="42FD1E25"/>
    <w:rsid w:val="48580992"/>
    <w:rsid w:val="4A425A8C"/>
    <w:rsid w:val="51B609BC"/>
    <w:rsid w:val="52B50CD1"/>
    <w:rsid w:val="53AB7943"/>
    <w:rsid w:val="54377078"/>
    <w:rsid w:val="5658278D"/>
    <w:rsid w:val="63FE661B"/>
    <w:rsid w:val="65AA28D2"/>
    <w:rsid w:val="672E7FBB"/>
    <w:rsid w:val="6AC802C9"/>
    <w:rsid w:val="6EFF4E15"/>
    <w:rsid w:val="79700F54"/>
    <w:rsid w:val="79BA4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Hyperlink"/>
    <w:basedOn w:val="6"/>
    <w:semiHidden/>
    <w:unhideWhenUsed/>
    <w:qFormat/>
    <w:uiPriority w:val="99"/>
    <w:rPr>
      <w:color w:val="0000FF"/>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SBBZW"/>
    <w:basedOn w:val="1"/>
    <w:qFormat/>
    <w:uiPriority w:val="0"/>
    <w:pPr>
      <w:spacing w:line="360" w:lineRule="auto"/>
      <w:ind w:firstLine="480" w:firstLineChars="200"/>
    </w:pPr>
    <w:rPr>
      <w:rFonts w:ascii="宋体" w:hAnsi="宋体"/>
      <w:sz w:val="24"/>
    </w:rPr>
  </w:style>
  <w:style w:type="paragraph" w:customStyle="1" w:styleId="11">
    <w:name w:val="SBBL1"/>
    <w:basedOn w:val="2"/>
    <w:next w:val="1"/>
    <w:qFormat/>
    <w:uiPriority w:val="0"/>
    <w:pPr>
      <w:spacing w:beforeLines="100" w:afterLines="150" w:line="360" w:lineRule="auto"/>
      <w:jc w:val="center"/>
    </w:pPr>
    <w:rPr>
      <w:rFonts w:ascii="方正小标宋简体" w:hAnsi="宋体" w:eastAsia="方正小标宋简体" w:cs="宋体"/>
      <w:b w:val="0"/>
      <w:bCs w:val="0"/>
      <w:sz w:val="28"/>
      <w:szCs w:val="28"/>
    </w:rPr>
  </w:style>
  <w:style w:type="paragraph" w:customStyle="1" w:styleId="12">
    <w:name w:val="SBBL2"/>
    <w:basedOn w:val="1"/>
    <w:qFormat/>
    <w:uiPriority w:val="0"/>
    <w:pPr>
      <w:spacing w:line="360" w:lineRule="auto"/>
      <w:ind w:firstLine="200" w:firstLineChars="200"/>
      <w:jc w:val="left"/>
      <w:outlineLvl w:val="1"/>
    </w:pPr>
    <w:rPr>
      <w:rFonts w:ascii="宋体" w:hAnsi="宋体" w:cs="Calibri"/>
      <w:b/>
      <w:sz w:val="24"/>
    </w:rPr>
  </w:style>
  <w:style w:type="paragraph" w:customStyle="1" w:styleId="13">
    <w:name w:val="SBBL3"/>
    <w:basedOn w:val="1"/>
    <w:qFormat/>
    <w:uiPriority w:val="0"/>
    <w:pPr>
      <w:spacing w:line="360" w:lineRule="auto"/>
      <w:ind w:firstLine="480" w:firstLineChars="200"/>
      <w:outlineLvl w:val="2"/>
    </w:pPr>
    <w:rPr>
      <w:rFonts w:ascii="黑体" w:hAnsi="黑体" w:eastAsia="黑体" w:cs="Calibri"/>
      <w:sz w:val="24"/>
    </w:rPr>
  </w:style>
  <w:style w:type="paragraph" w:customStyle="1" w:styleId="14">
    <w:name w:val="SBBT1"/>
    <w:basedOn w:val="10"/>
    <w:qFormat/>
    <w:uiPriority w:val="0"/>
    <w:pPr>
      <w:tabs>
        <w:tab w:val="center" w:pos="4678"/>
      </w:tabs>
      <w:ind w:firstLine="0" w:firstLineChars="0"/>
      <w:jc w:val="left"/>
      <w:outlineLvl w:val="0"/>
    </w:pPr>
    <w:rPr>
      <w:rFonts w:cs="宋体"/>
      <w:b/>
      <w:bCs/>
      <w:kern w:val="0"/>
      <w:sz w:val="28"/>
      <w:szCs w:val="28"/>
    </w:rPr>
  </w:style>
  <w:style w:type="character" w:customStyle="1" w:styleId="15">
    <w:name w:val="标题 1 Char"/>
    <w:basedOn w:val="6"/>
    <w:link w:val="2"/>
    <w:qFormat/>
    <w:uiPriority w:val="9"/>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Pages>
  <Words>353</Words>
  <Characters>2014</Characters>
  <Lines>16</Lines>
  <Paragraphs>4</Paragraphs>
  <TotalTime>8</TotalTime>
  <ScaleCrop>false</ScaleCrop>
  <LinksUpToDate>false</LinksUpToDate>
  <CharactersWithSpaces>2363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2020-03-04T07:08:00Z</dcterms:created>
  <dc:creator>徐小莉</dc:creator>
  <cp:lastModifiedBy>lenovo</cp:lastModifiedBy>
  <dcterms:modified xsi:type="dcterms:W3CDTF">2020-03-06T02:27:23Z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